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D3" w:rsidRDefault="00E73AD3" w:rsidP="00E73AD3">
      <w:pPr>
        <w:spacing w:line="360" w:lineRule="auto"/>
        <w:jc w:val="center"/>
        <w:rPr>
          <w:rFonts w:asciiTheme="minorEastAsia" w:hAnsiTheme="minorEastAsia" w:hint="eastAsia"/>
          <w:b/>
          <w:sz w:val="40"/>
        </w:rPr>
      </w:pPr>
      <w:r w:rsidRPr="00E73AD3">
        <w:rPr>
          <w:rFonts w:asciiTheme="minorEastAsia" w:hAnsiTheme="minorEastAsia" w:hint="eastAsia"/>
          <w:b/>
          <w:sz w:val="40"/>
        </w:rPr>
        <w:t>工程建设项目申报材料增加招标内容</w:t>
      </w:r>
      <w:proofErr w:type="gramStart"/>
      <w:r w:rsidRPr="00E73AD3">
        <w:rPr>
          <w:rFonts w:asciiTheme="minorEastAsia" w:hAnsiTheme="minorEastAsia" w:hint="eastAsia"/>
          <w:b/>
          <w:sz w:val="40"/>
        </w:rPr>
        <w:t>和</w:t>
      </w:r>
      <w:proofErr w:type="gramEnd"/>
    </w:p>
    <w:p w:rsidR="00E73AD3" w:rsidRPr="00E73AD3" w:rsidRDefault="00E73AD3" w:rsidP="00E73AD3">
      <w:pPr>
        <w:spacing w:line="360" w:lineRule="auto"/>
        <w:jc w:val="center"/>
        <w:rPr>
          <w:rFonts w:asciiTheme="minorEastAsia" w:hAnsiTheme="minorEastAsia" w:hint="eastAsia"/>
          <w:b/>
          <w:sz w:val="40"/>
        </w:rPr>
      </w:pPr>
      <w:r w:rsidRPr="00E73AD3">
        <w:rPr>
          <w:rFonts w:asciiTheme="minorEastAsia" w:hAnsiTheme="minorEastAsia" w:hint="eastAsia"/>
          <w:b/>
          <w:sz w:val="40"/>
        </w:rPr>
        <w:t>核准招标事项暂行规定</w:t>
      </w:r>
    </w:p>
    <w:p w:rsidR="00E73AD3" w:rsidRDefault="00E73AD3" w:rsidP="00E73AD3">
      <w:pPr>
        <w:spacing w:line="360" w:lineRule="auto"/>
        <w:jc w:val="center"/>
        <w:rPr>
          <w:rFonts w:asciiTheme="minorEastAsia" w:hAnsiTheme="minorEastAsia" w:hint="eastAsia"/>
          <w:b/>
          <w:sz w:val="28"/>
        </w:rPr>
      </w:pPr>
      <w:r w:rsidRPr="00E73AD3">
        <w:rPr>
          <w:rFonts w:asciiTheme="minorEastAsia" w:hAnsiTheme="minorEastAsia" w:hint="eastAsia"/>
          <w:b/>
          <w:sz w:val="28"/>
        </w:rPr>
        <w:t>（</w:t>
      </w:r>
      <w:r w:rsidRPr="00E73AD3">
        <w:rPr>
          <w:rFonts w:asciiTheme="minorEastAsia" w:hAnsiTheme="minorEastAsia" w:hint="eastAsia"/>
          <w:b/>
          <w:sz w:val="28"/>
        </w:rPr>
        <w:t>国家发展计划委员会令第9号，2001年6月18日发布，</w:t>
      </w:r>
    </w:p>
    <w:p w:rsidR="00E73AD3" w:rsidRPr="00E73AD3" w:rsidRDefault="00E73AD3" w:rsidP="00E73AD3">
      <w:pPr>
        <w:spacing w:line="360" w:lineRule="auto"/>
        <w:jc w:val="center"/>
        <w:rPr>
          <w:rFonts w:asciiTheme="minorEastAsia" w:hAnsiTheme="minorEastAsia" w:hint="eastAsia"/>
          <w:b/>
          <w:sz w:val="36"/>
        </w:rPr>
      </w:pPr>
      <w:r w:rsidRPr="00E73AD3">
        <w:rPr>
          <w:rFonts w:asciiTheme="minorEastAsia" w:hAnsiTheme="minorEastAsia" w:hint="eastAsia"/>
          <w:b/>
          <w:sz w:val="28"/>
        </w:rPr>
        <w:t>按照2013年第23号令</w:t>
      </w:r>
      <w:r w:rsidRPr="00E73AD3">
        <w:rPr>
          <w:rFonts w:asciiTheme="minorEastAsia" w:hAnsiTheme="minorEastAsia" w:hint="eastAsia"/>
          <w:b/>
          <w:sz w:val="28"/>
        </w:rPr>
        <w:t>修订</w:t>
      </w:r>
      <w:r w:rsidRPr="00E73AD3">
        <w:rPr>
          <w:rFonts w:asciiTheme="minorEastAsia" w:hAnsiTheme="minorEastAsia" w:hint="eastAsia"/>
          <w:b/>
          <w:sz w:val="28"/>
        </w:rPr>
        <w:t>）</w:t>
      </w:r>
    </w:p>
    <w:p w:rsidR="00E73AD3" w:rsidRPr="00E73AD3" w:rsidRDefault="00E73AD3" w:rsidP="00E73AD3">
      <w:pPr>
        <w:spacing w:line="360" w:lineRule="auto"/>
        <w:ind w:firstLineChars="200" w:firstLine="480"/>
        <w:rPr>
          <w:rFonts w:asciiTheme="minorEastAsia" w:hAnsiTheme="minorEastAsia" w:hint="eastAsia"/>
          <w:sz w:val="24"/>
        </w:rPr>
      </w:pPr>
      <w:r w:rsidRPr="00E73AD3">
        <w:rPr>
          <w:rFonts w:asciiTheme="minorEastAsia" w:hAnsiTheme="minorEastAsia" w:hint="eastAsia"/>
          <w:sz w:val="24"/>
        </w:rPr>
        <w:t>第一条   为了规范工程建设项目的招标活动，依据《中华人民共和国招标投标法》、《中华人民共和国招标投标法实施条例》，制定本规定。</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w:t>
      </w:r>
      <w:r>
        <w:rPr>
          <w:rFonts w:asciiTheme="minorEastAsia" w:hAnsiTheme="minorEastAsia" w:hint="eastAsia"/>
          <w:sz w:val="24"/>
        </w:rPr>
        <w:t xml:space="preserve"> </w:t>
      </w:r>
      <w:r w:rsidRPr="00E73AD3">
        <w:rPr>
          <w:rFonts w:asciiTheme="minorEastAsia" w:hAnsiTheme="minorEastAsia" w:hint="eastAsia"/>
          <w:sz w:val="24"/>
        </w:rPr>
        <w:t>第二条   本规定适用于《工程建设项目招标范围和规模标准规定》（国家发展计划委员会令第3号）中规定的依法必须进行招标</w:t>
      </w:r>
      <w:proofErr w:type="gramStart"/>
      <w:r w:rsidRPr="00E73AD3">
        <w:rPr>
          <w:rFonts w:asciiTheme="minorEastAsia" w:hAnsiTheme="minorEastAsia" w:hint="eastAsia"/>
          <w:sz w:val="24"/>
        </w:rPr>
        <w:t>且按照</w:t>
      </w:r>
      <w:proofErr w:type="gramEnd"/>
      <w:r w:rsidRPr="00E73AD3">
        <w:rPr>
          <w:rFonts w:asciiTheme="minorEastAsia" w:hAnsiTheme="minorEastAsia" w:hint="eastAsia"/>
          <w:sz w:val="24"/>
        </w:rPr>
        <w:t>国家有关规定需要履行项目审批、核准手续的各类工程建设项目。</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w:t>
      </w:r>
      <w:r>
        <w:rPr>
          <w:rFonts w:asciiTheme="minorEastAsia" w:hAnsiTheme="minorEastAsia" w:hint="eastAsia"/>
          <w:sz w:val="24"/>
        </w:rPr>
        <w:t xml:space="preserve"> </w:t>
      </w:r>
      <w:r w:rsidRPr="00E73AD3">
        <w:rPr>
          <w:rFonts w:asciiTheme="minorEastAsia" w:hAnsiTheme="minorEastAsia" w:hint="eastAsia"/>
          <w:sz w:val="24"/>
        </w:rPr>
        <w:t>第三条   本规定第二条包括的工程建设项目，必须在报送的项目可行性研究报告或者资金申请报告、项目申请报告中增加有关招标的内容。</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w:t>
      </w:r>
      <w:r>
        <w:rPr>
          <w:rFonts w:asciiTheme="minorEastAsia" w:hAnsiTheme="minorEastAsia" w:hint="eastAsia"/>
          <w:sz w:val="24"/>
        </w:rPr>
        <w:t xml:space="preserve"> </w:t>
      </w:r>
      <w:r w:rsidRPr="00E73AD3">
        <w:rPr>
          <w:rFonts w:asciiTheme="minorEastAsia" w:hAnsiTheme="minorEastAsia" w:hint="eastAsia"/>
          <w:sz w:val="24"/>
        </w:rPr>
        <w:t>第四条   增加的招标内容包括：</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（一）建设项目的勘察、设计、施工、监理以及重要设备、材料等采购活动的具体招标范围（全部或者部分招标）；</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二）建设项目的勘察、设计、施工、监理以及重要设备、材料等采购活动拟采用的招标组织形式（委托招标或者自行招标）；拟自行招标的，还应按照《工程建设项目自行招标试行办法》（国家发展计划委员会令第５号）规定报送书面材料；</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三）建设项目的勘察、设计、施工、监理以及重要设备、材料等采购活动拟采用的招标方式（公开招标或者邀请招标）；国家发展改革委确定的国家重点项目和省、自治区、直辖市人民政府确定的地方重点项目，拟采用邀请招标的，应对采用邀请招标的理由</w:t>
      </w:r>
      <w:proofErr w:type="gramStart"/>
      <w:r w:rsidRPr="00E73AD3">
        <w:rPr>
          <w:rFonts w:asciiTheme="minorEastAsia" w:hAnsiTheme="minorEastAsia" w:hint="eastAsia"/>
          <w:sz w:val="24"/>
        </w:rPr>
        <w:t>作出</w:t>
      </w:r>
      <w:proofErr w:type="gramEnd"/>
      <w:r w:rsidRPr="00E73AD3">
        <w:rPr>
          <w:rFonts w:asciiTheme="minorEastAsia" w:hAnsiTheme="minorEastAsia" w:hint="eastAsia"/>
          <w:sz w:val="24"/>
        </w:rPr>
        <w:t>说明；</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（四）其他有关内容。</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报送招标内容时应附招标基本情况表（表式见附表一）。</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w:t>
      </w:r>
      <w:r>
        <w:rPr>
          <w:rFonts w:asciiTheme="minorEastAsia" w:hAnsiTheme="minorEastAsia" w:hint="eastAsia"/>
          <w:sz w:val="24"/>
        </w:rPr>
        <w:t xml:space="preserve"> </w:t>
      </w:r>
      <w:r w:rsidRPr="00E73AD3">
        <w:rPr>
          <w:rFonts w:asciiTheme="minorEastAsia" w:hAnsiTheme="minorEastAsia" w:hint="eastAsia"/>
          <w:sz w:val="24"/>
        </w:rPr>
        <w:t>第五条   属于下列情况之一的，建设项目可以不进行招标。但在报送可行性研究报告或者资金申请报告、项目申请报告中须提出不招标申请，并说明不招标原因：</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（一）涉及国家安全、国家秘密、抢险救灾或者属于利用扶贫资金实行以工代赈、需要使用农民工等特殊情况，不适宜进行招标；</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（二）建设项目的勘察、设计，采用不可替代的专利或者专有技术，或者其建筑艺术造型有特殊要求；</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lastRenderedPageBreak/>
        <w:t>（三）承包商、供应商或者服务提供者少于三家，不能形成有效竞争；</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（四）采购人依法能够自行建设、生产或者提供；</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（五）已通过招标方式选定的特许经营项目投资人依法能够自行建设、生产或者提供；</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（六）需要向原中标人采购工程、货物或者服务，否则将影响施工或者配套要求；</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（七）国家规定的其他特殊情形。</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第六条   经项目审批、核准部门审批、核准，工程建设项目因特殊情况可以在报送可行性研究报告前先行开展招标活动，但应在报送的可行性研究报告或者资金 申请报告、项目申请报告中予以说明。项目审批部门认定先行开展的招标活动中有违背法律、法规的情形的，应要求其纠正。</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第七条   在项目可行性研究报告或者资金申请报告、项目申请报告中增加的招标内容，作为附件与可行性研究报告或者资金申请报告、项目申请报告一同报送。</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第八条   项目审批部门应依据法律、法规规定的权限，对项目建设单位拟定的招标范围、招标组织形式、招标方式等内容提出是否予以审批、核准的意见。项目审批、核准部门对招标事项审批、核准意见格式见附表二。</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第九条  审批、核准招标事项，按以下分工办理：</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（一）应报送国家发展改革委审批和国家发展改革委核报国务院审批的建设项目，由国家发展改革委审批；</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（二）应报送国务院行业主管部门审批的建设项目，由国务院行业主管部门审批；</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（三）应报送地方人民政府发展改革部门审批和地方人民政府发展改革部门核报地方人民政府审批的建设项目，由地方人民政府发展改革部门审批；</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（四）按照规定应报送国家发展改革委核准的建设项目，由国家发展改革委核准；</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（五）按照规定应报送地方人民政府发展改革部门核准的建设项目，由地方 人民政府发展改革部门核准；</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第十条   使用国际金融组织或者外国政府资金的建设项目，资金提供方对建设项目报送招标内容有规定的，从其规定。</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第十一条   项目建设单位在招标活动中对审批、核准的招标范围、招标组织形式、招标方式等</w:t>
      </w:r>
      <w:proofErr w:type="gramStart"/>
      <w:r w:rsidRPr="00E73AD3">
        <w:rPr>
          <w:rFonts w:asciiTheme="minorEastAsia" w:hAnsiTheme="minorEastAsia" w:hint="eastAsia"/>
          <w:sz w:val="24"/>
        </w:rPr>
        <w:t>作出</w:t>
      </w:r>
      <w:proofErr w:type="gramEnd"/>
      <w:r w:rsidRPr="00E73AD3">
        <w:rPr>
          <w:rFonts w:asciiTheme="minorEastAsia" w:hAnsiTheme="minorEastAsia" w:hint="eastAsia"/>
          <w:sz w:val="24"/>
        </w:rPr>
        <w:t>改变的，应向原审批、核准部门重新办理有关审批、核准手续。</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第十二条   项目审批、核准部门应将审批、核准建设项目招标内容的意见抄送有关行政监督部门。</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lastRenderedPageBreak/>
        <w:t xml:space="preserve">   第十三条   项目建设单位在报送招标内容中弄虚作假，或者在招标活动中违背项目审批、核准部门审批、核准事项，由项目审批、核准部门和有关行政监督部门依法处罚。</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第十四条   本规定由国家发展改革委解释。</w:t>
      </w:r>
    </w:p>
    <w:p w:rsidR="00E73AD3" w:rsidRPr="00E73AD3" w:rsidRDefault="00E73AD3" w:rsidP="00E73AD3">
      <w:pPr>
        <w:spacing w:line="360" w:lineRule="auto"/>
        <w:rPr>
          <w:rFonts w:asciiTheme="minorEastAsia" w:hAnsiTheme="minorEastAsia" w:hint="eastAsia"/>
          <w:sz w:val="24"/>
        </w:rPr>
      </w:pPr>
      <w:r w:rsidRPr="00E73AD3">
        <w:rPr>
          <w:rFonts w:asciiTheme="minorEastAsia" w:hAnsiTheme="minorEastAsia" w:hint="eastAsia"/>
          <w:sz w:val="24"/>
        </w:rPr>
        <w:t xml:space="preserve">   第十五条   本规定自发布之日起施行。</w:t>
      </w:r>
    </w:p>
    <w:p w:rsidR="00E73AD3" w:rsidRPr="00E73AD3" w:rsidRDefault="00E73AD3" w:rsidP="00E73AD3">
      <w:pPr>
        <w:spacing w:line="360" w:lineRule="auto"/>
        <w:rPr>
          <w:rFonts w:asciiTheme="minorEastAsia" w:hAnsiTheme="minorEastAsia"/>
          <w:sz w:val="24"/>
        </w:rPr>
      </w:pPr>
      <w:r w:rsidRPr="00E73AD3">
        <w:rPr>
          <w:rFonts w:asciiTheme="minorEastAsia" w:hAnsiTheme="minorEastAsia" w:hint="eastAsia"/>
          <w:sz w:val="24"/>
        </w:rPr>
        <w:t>以上内容已经按《关于废止和修改部分招标投标规章和规范性文件的决定》 2013年第23号令附件二 [决定修改的规章和规范性文件]进行修改，如有不一致之处，以原文和23号令对应修改为准。</w:t>
      </w:r>
      <w:r w:rsidRPr="00E73AD3">
        <w:rPr>
          <w:rFonts w:asciiTheme="minorEastAsia" w:hAnsiTheme="minorEastAsia" w:hint="eastAsia"/>
          <w:sz w:val="24"/>
        </w:rPr>
        <w:tab/>
      </w:r>
      <w:r w:rsidRPr="00E73AD3">
        <w:rPr>
          <w:rFonts w:asciiTheme="minorEastAsia" w:hAnsiTheme="minorEastAsia" w:hint="eastAsia"/>
          <w:sz w:val="24"/>
        </w:rPr>
        <w:tab/>
      </w:r>
    </w:p>
    <w:p w:rsidR="00696CEB" w:rsidRPr="00E73AD3" w:rsidRDefault="00696CEB" w:rsidP="00E73AD3">
      <w:pPr>
        <w:spacing w:line="360" w:lineRule="auto"/>
        <w:rPr>
          <w:rFonts w:asciiTheme="minorEastAsia" w:hAnsiTheme="minorEastAsia"/>
          <w:sz w:val="24"/>
        </w:rPr>
      </w:pPr>
    </w:p>
    <w:sectPr w:rsidR="00696CEB" w:rsidRPr="00E73AD3" w:rsidSect="00E73AD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AD3" w:rsidRDefault="00E73AD3" w:rsidP="00E73AD3">
      <w:r>
        <w:separator/>
      </w:r>
    </w:p>
  </w:endnote>
  <w:endnote w:type="continuationSeparator" w:id="0">
    <w:p w:rsidR="00E73AD3" w:rsidRDefault="00E73AD3" w:rsidP="00E73A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AD3" w:rsidRDefault="00E73AD3" w:rsidP="00E73AD3">
      <w:r>
        <w:separator/>
      </w:r>
    </w:p>
  </w:footnote>
  <w:footnote w:type="continuationSeparator" w:id="0">
    <w:p w:rsidR="00E73AD3" w:rsidRDefault="00E73AD3" w:rsidP="00E73A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3AD3"/>
    <w:rsid w:val="00001467"/>
    <w:rsid w:val="00005F44"/>
    <w:rsid w:val="00016ACD"/>
    <w:rsid w:val="00021810"/>
    <w:rsid w:val="00021CF9"/>
    <w:rsid w:val="00023479"/>
    <w:rsid w:val="00041269"/>
    <w:rsid w:val="000520CE"/>
    <w:rsid w:val="00072CE6"/>
    <w:rsid w:val="00087126"/>
    <w:rsid w:val="000901DD"/>
    <w:rsid w:val="000C73A1"/>
    <w:rsid w:val="000D214B"/>
    <w:rsid w:val="000D6302"/>
    <w:rsid w:val="000E22F7"/>
    <w:rsid w:val="00102D8F"/>
    <w:rsid w:val="00111F05"/>
    <w:rsid w:val="00125C06"/>
    <w:rsid w:val="00133D3E"/>
    <w:rsid w:val="0014374B"/>
    <w:rsid w:val="00147B63"/>
    <w:rsid w:val="00153A8D"/>
    <w:rsid w:val="00161817"/>
    <w:rsid w:val="00175CBB"/>
    <w:rsid w:val="00180E61"/>
    <w:rsid w:val="001847B2"/>
    <w:rsid w:val="00184B06"/>
    <w:rsid w:val="001853D3"/>
    <w:rsid w:val="001A6834"/>
    <w:rsid w:val="001B1D80"/>
    <w:rsid w:val="001D5A19"/>
    <w:rsid w:val="001E7E28"/>
    <w:rsid w:val="001F2861"/>
    <w:rsid w:val="002102B8"/>
    <w:rsid w:val="0023127C"/>
    <w:rsid w:val="00251F2E"/>
    <w:rsid w:val="00274542"/>
    <w:rsid w:val="00290D5A"/>
    <w:rsid w:val="00293087"/>
    <w:rsid w:val="002A5050"/>
    <w:rsid w:val="002E57BE"/>
    <w:rsid w:val="002F3AB2"/>
    <w:rsid w:val="002F6767"/>
    <w:rsid w:val="002F7AD1"/>
    <w:rsid w:val="00316872"/>
    <w:rsid w:val="0033230E"/>
    <w:rsid w:val="00344185"/>
    <w:rsid w:val="003475AA"/>
    <w:rsid w:val="0034774C"/>
    <w:rsid w:val="00350DF2"/>
    <w:rsid w:val="00353540"/>
    <w:rsid w:val="003561F9"/>
    <w:rsid w:val="003645B7"/>
    <w:rsid w:val="00370CD0"/>
    <w:rsid w:val="003762F1"/>
    <w:rsid w:val="003A19BE"/>
    <w:rsid w:val="003C27C3"/>
    <w:rsid w:val="003E4539"/>
    <w:rsid w:val="003F40EA"/>
    <w:rsid w:val="003F48B5"/>
    <w:rsid w:val="003F5A5B"/>
    <w:rsid w:val="003F70DA"/>
    <w:rsid w:val="00407055"/>
    <w:rsid w:val="00407612"/>
    <w:rsid w:val="00412529"/>
    <w:rsid w:val="00423760"/>
    <w:rsid w:val="0043227F"/>
    <w:rsid w:val="00442F4A"/>
    <w:rsid w:val="0044345B"/>
    <w:rsid w:val="004631F3"/>
    <w:rsid w:val="00473F2B"/>
    <w:rsid w:val="00477C3D"/>
    <w:rsid w:val="004C3CB4"/>
    <w:rsid w:val="004C6DF3"/>
    <w:rsid w:val="004E047C"/>
    <w:rsid w:val="004F0186"/>
    <w:rsid w:val="004F49BA"/>
    <w:rsid w:val="00526405"/>
    <w:rsid w:val="00543EF5"/>
    <w:rsid w:val="00544E97"/>
    <w:rsid w:val="0054512B"/>
    <w:rsid w:val="005561D6"/>
    <w:rsid w:val="005633E0"/>
    <w:rsid w:val="0056395F"/>
    <w:rsid w:val="0059569F"/>
    <w:rsid w:val="005960CF"/>
    <w:rsid w:val="005E2B00"/>
    <w:rsid w:val="005E379A"/>
    <w:rsid w:val="005E3CEB"/>
    <w:rsid w:val="005F74EF"/>
    <w:rsid w:val="00602015"/>
    <w:rsid w:val="00612755"/>
    <w:rsid w:val="00616559"/>
    <w:rsid w:val="0064523A"/>
    <w:rsid w:val="00654971"/>
    <w:rsid w:val="00662D92"/>
    <w:rsid w:val="0066543F"/>
    <w:rsid w:val="00673EF6"/>
    <w:rsid w:val="0067484E"/>
    <w:rsid w:val="00696CEB"/>
    <w:rsid w:val="00696D0F"/>
    <w:rsid w:val="006A06DC"/>
    <w:rsid w:val="006B4959"/>
    <w:rsid w:val="006B6CA8"/>
    <w:rsid w:val="006D5ABF"/>
    <w:rsid w:val="006F2E03"/>
    <w:rsid w:val="007134EE"/>
    <w:rsid w:val="00723739"/>
    <w:rsid w:val="00737D5A"/>
    <w:rsid w:val="00760C85"/>
    <w:rsid w:val="007A047C"/>
    <w:rsid w:val="007A5ADB"/>
    <w:rsid w:val="007A7A22"/>
    <w:rsid w:val="007B751F"/>
    <w:rsid w:val="007C3A2D"/>
    <w:rsid w:val="007C62CE"/>
    <w:rsid w:val="007E1C2F"/>
    <w:rsid w:val="007E2BAD"/>
    <w:rsid w:val="007F1F85"/>
    <w:rsid w:val="007F648A"/>
    <w:rsid w:val="0080665B"/>
    <w:rsid w:val="00825DD2"/>
    <w:rsid w:val="00830596"/>
    <w:rsid w:val="0083082E"/>
    <w:rsid w:val="00854A2B"/>
    <w:rsid w:val="00856DE1"/>
    <w:rsid w:val="0086331B"/>
    <w:rsid w:val="00872E99"/>
    <w:rsid w:val="00875548"/>
    <w:rsid w:val="00882C31"/>
    <w:rsid w:val="0089139E"/>
    <w:rsid w:val="00892F54"/>
    <w:rsid w:val="00897896"/>
    <w:rsid w:val="008B6F75"/>
    <w:rsid w:val="008D189D"/>
    <w:rsid w:val="008E4053"/>
    <w:rsid w:val="00913439"/>
    <w:rsid w:val="00916132"/>
    <w:rsid w:val="00921447"/>
    <w:rsid w:val="009244ED"/>
    <w:rsid w:val="009256DC"/>
    <w:rsid w:val="00937636"/>
    <w:rsid w:val="009422A6"/>
    <w:rsid w:val="00946CEF"/>
    <w:rsid w:val="00947CC9"/>
    <w:rsid w:val="00957EB2"/>
    <w:rsid w:val="00962550"/>
    <w:rsid w:val="00962B82"/>
    <w:rsid w:val="00971845"/>
    <w:rsid w:val="009804C9"/>
    <w:rsid w:val="00981961"/>
    <w:rsid w:val="00985D63"/>
    <w:rsid w:val="0098623A"/>
    <w:rsid w:val="009B39CC"/>
    <w:rsid w:val="009B4AD0"/>
    <w:rsid w:val="009C2C40"/>
    <w:rsid w:val="009C7484"/>
    <w:rsid w:val="009E79AE"/>
    <w:rsid w:val="009F7193"/>
    <w:rsid w:val="00A131B8"/>
    <w:rsid w:val="00A47919"/>
    <w:rsid w:val="00A56601"/>
    <w:rsid w:val="00A647C4"/>
    <w:rsid w:val="00A7073E"/>
    <w:rsid w:val="00A738E9"/>
    <w:rsid w:val="00A746D0"/>
    <w:rsid w:val="00A74EAA"/>
    <w:rsid w:val="00A874D3"/>
    <w:rsid w:val="00A87CD9"/>
    <w:rsid w:val="00A94208"/>
    <w:rsid w:val="00AA41C0"/>
    <w:rsid w:val="00AC1245"/>
    <w:rsid w:val="00AC33BF"/>
    <w:rsid w:val="00AF027A"/>
    <w:rsid w:val="00AF50EA"/>
    <w:rsid w:val="00B31E94"/>
    <w:rsid w:val="00B32D67"/>
    <w:rsid w:val="00B60F3A"/>
    <w:rsid w:val="00B73596"/>
    <w:rsid w:val="00B74C93"/>
    <w:rsid w:val="00B74D35"/>
    <w:rsid w:val="00B86F9E"/>
    <w:rsid w:val="00B95DF4"/>
    <w:rsid w:val="00BB1BAE"/>
    <w:rsid w:val="00BB242E"/>
    <w:rsid w:val="00BB61C0"/>
    <w:rsid w:val="00BD6AA0"/>
    <w:rsid w:val="00BE3F9F"/>
    <w:rsid w:val="00BF389B"/>
    <w:rsid w:val="00C007E4"/>
    <w:rsid w:val="00C04E77"/>
    <w:rsid w:val="00C0722A"/>
    <w:rsid w:val="00C07782"/>
    <w:rsid w:val="00C13E7E"/>
    <w:rsid w:val="00C15DBA"/>
    <w:rsid w:val="00C30C98"/>
    <w:rsid w:val="00C34E18"/>
    <w:rsid w:val="00C428E0"/>
    <w:rsid w:val="00C4529E"/>
    <w:rsid w:val="00C56B1C"/>
    <w:rsid w:val="00C609B2"/>
    <w:rsid w:val="00C72847"/>
    <w:rsid w:val="00C97032"/>
    <w:rsid w:val="00CA30DC"/>
    <w:rsid w:val="00CA33CF"/>
    <w:rsid w:val="00CA4168"/>
    <w:rsid w:val="00CA4D60"/>
    <w:rsid w:val="00CB0C47"/>
    <w:rsid w:val="00CB3B56"/>
    <w:rsid w:val="00CC4343"/>
    <w:rsid w:val="00CD1AE3"/>
    <w:rsid w:val="00CD3563"/>
    <w:rsid w:val="00CE3C71"/>
    <w:rsid w:val="00D00409"/>
    <w:rsid w:val="00D10A3C"/>
    <w:rsid w:val="00D21F30"/>
    <w:rsid w:val="00D3694B"/>
    <w:rsid w:val="00D47497"/>
    <w:rsid w:val="00D67F3C"/>
    <w:rsid w:val="00D76E87"/>
    <w:rsid w:val="00D93801"/>
    <w:rsid w:val="00D93B28"/>
    <w:rsid w:val="00E04754"/>
    <w:rsid w:val="00E17450"/>
    <w:rsid w:val="00E22FF1"/>
    <w:rsid w:val="00E27E09"/>
    <w:rsid w:val="00E451F0"/>
    <w:rsid w:val="00E64FA6"/>
    <w:rsid w:val="00E73AD3"/>
    <w:rsid w:val="00E7717F"/>
    <w:rsid w:val="00E86729"/>
    <w:rsid w:val="00E91A9A"/>
    <w:rsid w:val="00E94094"/>
    <w:rsid w:val="00EA29BC"/>
    <w:rsid w:val="00EE3BF2"/>
    <w:rsid w:val="00EE5ECB"/>
    <w:rsid w:val="00EF415D"/>
    <w:rsid w:val="00F0449C"/>
    <w:rsid w:val="00F078D9"/>
    <w:rsid w:val="00F23A4B"/>
    <w:rsid w:val="00F2451D"/>
    <w:rsid w:val="00F36461"/>
    <w:rsid w:val="00F366FF"/>
    <w:rsid w:val="00F43C91"/>
    <w:rsid w:val="00F51FEA"/>
    <w:rsid w:val="00F92CF0"/>
    <w:rsid w:val="00FB7268"/>
    <w:rsid w:val="00FB741A"/>
    <w:rsid w:val="00FC2CE7"/>
    <w:rsid w:val="00FC52B9"/>
    <w:rsid w:val="00FD3B27"/>
    <w:rsid w:val="00FD7454"/>
    <w:rsid w:val="00FE3201"/>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3A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3AD3"/>
    <w:rPr>
      <w:sz w:val="18"/>
      <w:szCs w:val="18"/>
    </w:rPr>
  </w:style>
  <w:style w:type="paragraph" w:styleId="a4">
    <w:name w:val="footer"/>
    <w:basedOn w:val="a"/>
    <w:link w:val="Char0"/>
    <w:uiPriority w:val="99"/>
    <w:semiHidden/>
    <w:unhideWhenUsed/>
    <w:rsid w:val="00E73A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3AD3"/>
    <w:rPr>
      <w:sz w:val="18"/>
      <w:szCs w:val="18"/>
    </w:rPr>
  </w:style>
  <w:style w:type="character" w:styleId="a5">
    <w:name w:val="Strong"/>
    <w:basedOn w:val="a0"/>
    <w:uiPriority w:val="22"/>
    <w:qFormat/>
    <w:rsid w:val="00E73AD3"/>
    <w:rPr>
      <w:b/>
      <w:bCs/>
    </w:rPr>
  </w:style>
  <w:style w:type="paragraph" w:customStyle="1" w:styleId="p16">
    <w:name w:val="p16"/>
    <w:basedOn w:val="a"/>
    <w:rsid w:val="00E73AD3"/>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E73A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65646640">
      <w:bodyDiv w:val="1"/>
      <w:marLeft w:val="0"/>
      <w:marRight w:val="0"/>
      <w:marTop w:val="0"/>
      <w:marBottom w:val="0"/>
      <w:divBdr>
        <w:top w:val="none" w:sz="0" w:space="0" w:color="auto"/>
        <w:left w:val="none" w:sz="0" w:space="0" w:color="auto"/>
        <w:bottom w:val="none" w:sz="0" w:space="0" w:color="auto"/>
        <w:right w:val="none" w:sz="0" w:space="0" w:color="auto"/>
      </w:divBdr>
      <w:divsChild>
        <w:div w:id="1722249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291</Words>
  <Characters>1659</Characters>
  <Application>Microsoft Office Word</Application>
  <DocSecurity>0</DocSecurity>
  <Lines>13</Lines>
  <Paragraphs>3</Paragraphs>
  <ScaleCrop>false</ScaleCrop>
  <Company>微软中国</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2014-12-18T03:11:00Z</dcterms:created>
  <dcterms:modified xsi:type="dcterms:W3CDTF">2014-12-18T03:17:00Z</dcterms:modified>
</cp:coreProperties>
</file>